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87B0" w14:textId="6CC3D741" w:rsidR="00A96223" w:rsidRPr="004A62E7" w:rsidRDefault="009F3FDD" w:rsidP="00AF5C6A">
      <w:pPr>
        <w:spacing w:line="276" w:lineRule="auto"/>
        <w:jc w:val="right"/>
        <w:rPr>
          <w:b/>
          <w:bCs/>
        </w:rPr>
      </w:pPr>
      <w:r w:rsidRPr="009F3FDD">
        <w:rPr>
          <w:b/>
          <w:bCs/>
          <w:highlight w:val="yellow"/>
        </w:rPr>
        <w:t xml:space="preserve">INSERT </w:t>
      </w:r>
      <w:r w:rsidR="00230093" w:rsidRPr="009F3FDD">
        <w:rPr>
          <w:b/>
          <w:bCs/>
          <w:highlight w:val="yellow"/>
        </w:rPr>
        <w:t>YOUR NAME AND ADDRESS HERE</w:t>
      </w:r>
    </w:p>
    <w:p w14:paraId="43A74950" w14:textId="7B1BE005" w:rsidR="00A96223" w:rsidRDefault="009F3FDD" w:rsidP="00AF5C6A">
      <w:pPr>
        <w:spacing w:after="0" w:line="276" w:lineRule="auto"/>
        <w:jc w:val="both"/>
      </w:pPr>
      <w:r>
        <w:t>Date:</w:t>
      </w:r>
      <w:r>
        <w:tab/>
      </w:r>
      <w:r w:rsidR="00D302EB" w:rsidRPr="00D302EB">
        <w:rPr>
          <w:highlight w:val="yellow"/>
        </w:rPr>
        <w:t>INSERT DATE</w:t>
      </w:r>
    </w:p>
    <w:p w14:paraId="1D675F5E" w14:textId="50DB2F5D" w:rsidR="00215972" w:rsidRDefault="00215972" w:rsidP="00AF5C6A">
      <w:pPr>
        <w:spacing w:after="0" w:line="276" w:lineRule="auto"/>
        <w:jc w:val="both"/>
      </w:pPr>
    </w:p>
    <w:p w14:paraId="4AA4C16B" w14:textId="63E3AC38" w:rsidR="003C0931" w:rsidRPr="003C0931" w:rsidRDefault="00C51F7C" w:rsidP="003C0931">
      <w:pPr>
        <w:spacing w:after="0" w:line="276" w:lineRule="auto"/>
        <w:jc w:val="both"/>
        <w:rPr>
          <w:b/>
          <w:bCs/>
        </w:rPr>
      </w:pPr>
      <w:r w:rsidRPr="003C0931">
        <w:rPr>
          <w:b/>
          <w:bCs/>
        </w:rPr>
        <w:t>Re:</w:t>
      </w:r>
      <w:r w:rsidR="009F3FDD" w:rsidRPr="003C0931">
        <w:rPr>
          <w:b/>
          <w:bCs/>
        </w:rPr>
        <w:tab/>
      </w:r>
      <w:r w:rsidR="003C0931" w:rsidRPr="003C0931">
        <w:rPr>
          <w:b/>
          <w:bCs/>
        </w:rPr>
        <w:t>Extension of</w:t>
      </w:r>
      <w:bookmarkStart w:id="0" w:name="_Hlk82509786"/>
      <w:r w:rsidR="003C0931">
        <w:rPr>
          <w:b/>
          <w:bCs/>
        </w:rPr>
        <w:t xml:space="preserve"> </w:t>
      </w:r>
      <w:r w:rsidR="003C0931" w:rsidRPr="003C0931">
        <w:rPr>
          <w:b/>
          <w:bCs/>
        </w:rPr>
        <w:t xml:space="preserve">Part 2 of the </w:t>
      </w:r>
      <w:proofErr w:type="gramStart"/>
      <w:r w:rsidR="003C0931" w:rsidRPr="003C0931">
        <w:rPr>
          <w:b/>
          <w:bCs/>
        </w:rPr>
        <w:t>Health</w:t>
      </w:r>
      <w:proofErr w:type="gramEnd"/>
      <w:r w:rsidR="003C0931" w:rsidRPr="003C0931">
        <w:rPr>
          <w:b/>
          <w:bCs/>
        </w:rPr>
        <w:t xml:space="preserve"> (Amendment) (No2) Act</w:t>
      </w:r>
      <w:r w:rsidR="003C0931">
        <w:rPr>
          <w:b/>
          <w:bCs/>
        </w:rPr>
        <w:t>,</w:t>
      </w:r>
      <w:r w:rsidR="003C0931" w:rsidRPr="003C0931">
        <w:rPr>
          <w:b/>
          <w:bCs/>
        </w:rPr>
        <w:t xml:space="preserve"> 2021</w:t>
      </w:r>
      <w:r w:rsidR="003C0931">
        <w:rPr>
          <w:b/>
          <w:bCs/>
        </w:rPr>
        <w:t>;</w:t>
      </w:r>
      <w:r w:rsidR="003C0931" w:rsidRPr="003C0931">
        <w:rPr>
          <w:b/>
          <w:bCs/>
        </w:rPr>
        <w:t xml:space="preserve"> and</w:t>
      </w:r>
      <w:r w:rsidR="003C0931">
        <w:rPr>
          <w:b/>
          <w:bCs/>
        </w:rPr>
        <w:t xml:space="preserve"> </w:t>
      </w:r>
      <w:r w:rsidR="00195E3B">
        <w:rPr>
          <w:b/>
          <w:bCs/>
        </w:rPr>
        <w:t xml:space="preserve">the </w:t>
      </w:r>
      <w:r w:rsidR="003C0931" w:rsidRPr="003C0931">
        <w:rPr>
          <w:b/>
          <w:bCs/>
        </w:rPr>
        <w:t xml:space="preserve">Health and Criminal </w:t>
      </w:r>
      <w:r w:rsidR="003C0931" w:rsidRPr="003C0931">
        <w:rPr>
          <w:b/>
          <w:bCs/>
        </w:rPr>
        <w:tab/>
        <w:t>Justice (Covid-19) Amendment Act</w:t>
      </w:r>
      <w:r w:rsidR="003C0931">
        <w:rPr>
          <w:b/>
          <w:bCs/>
        </w:rPr>
        <w:t>,</w:t>
      </w:r>
      <w:r w:rsidR="003C0931" w:rsidRPr="003C0931">
        <w:rPr>
          <w:b/>
          <w:bCs/>
        </w:rPr>
        <w:t xml:space="preserve"> 2021</w:t>
      </w:r>
      <w:r w:rsidR="003C0931">
        <w:rPr>
          <w:b/>
          <w:bCs/>
        </w:rPr>
        <w:t xml:space="preserve"> (</w:t>
      </w:r>
      <w:bookmarkEnd w:id="0"/>
      <w:r w:rsidR="003C0931">
        <w:rPr>
          <w:b/>
          <w:bCs/>
        </w:rPr>
        <w:t>the “Acts”)</w:t>
      </w:r>
    </w:p>
    <w:p w14:paraId="2FF46B1A" w14:textId="77777777" w:rsidR="00C51F7C" w:rsidRDefault="00C51F7C" w:rsidP="00AF5C6A">
      <w:pPr>
        <w:spacing w:after="0" w:line="276" w:lineRule="auto"/>
      </w:pPr>
    </w:p>
    <w:p w14:paraId="78C09C28" w14:textId="071E4192" w:rsidR="00A96223" w:rsidRDefault="00BD565D" w:rsidP="00AF5C6A">
      <w:pPr>
        <w:spacing w:after="0" w:line="276" w:lineRule="auto"/>
      </w:pPr>
      <w:r>
        <w:t xml:space="preserve">Dear </w:t>
      </w:r>
      <w:r w:rsidR="00811772" w:rsidRPr="00811772">
        <w:rPr>
          <w:highlight w:val="yellow"/>
        </w:rPr>
        <w:t>[INSERT TD NAME</w:t>
      </w:r>
      <w:r w:rsidR="00811772">
        <w:t>]</w:t>
      </w:r>
      <w:r>
        <w:t>,</w:t>
      </w:r>
    </w:p>
    <w:p w14:paraId="55D23EF1" w14:textId="7DC579CA" w:rsidR="007431CF" w:rsidRDefault="007431CF" w:rsidP="00AF5C6A">
      <w:pPr>
        <w:spacing w:after="0" w:line="276" w:lineRule="auto"/>
        <w:jc w:val="both"/>
      </w:pPr>
    </w:p>
    <w:p w14:paraId="4354643F" w14:textId="0C5E6C48" w:rsidR="003C0931" w:rsidRDefault="00450FCC" w:rsidP="003C093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 w:rsidRPr="003C0931">
        <w:t xml:space="preserve">As you will be aware, </w:t>
      </w:r>
      <w:bookmarkStart w:id="1" w:name="_Hlk82512025"/>
      <w:r w:rsidR="003C0931" w:rsidRPr="003C0931">
        <w:t xml:space="preserve">Part 2 of the </w:t>
      </w:r>
      <w:proofErr w:type="gramStart"/>
      <w:r w:rsidR="003C0931" w:rsidRPr="003C0931">
        <w:t>Health</w:t>
      </w:r>
      <w:proofErr w:type="gramEnd"/>
      <w:r w:rsidR="003C0931" w:rsidRPr="003C0931">
        <w:t xml:space="preserve"> (Amendment) (No</w:t>
      </w:r>
      <w:r w:rsidR="00EC01BE">
        <w:t xml:space="preserve">. </w:t>
      </w:r>
      <w:r w:rsidR="003C0931" w:rsidRPr="003C0931">
        <w:t>2) Act</w:t>
      </w:r>
      <w:r w:rsidR="003C0931">
        <w:t>,</w:t>
      </w:r>
      <w:r w:rsidR="003C0931" w:rsidRPr="003C0931">
        <w:t xml:space="preserve"> 2021 </w:t>
      </w:r>
      <w:bookmarkEnd w:id="1"/>
      <w:r w:rsidR="003C0931" w:rsidRPr="003C0931">
        <w:rPr>
          <w:rFonts w:ascii="Calibri" w:eastAsia="Times New Roman" w:hAnsi="Calibri" w:cs="Calibri"/>
          <w:color w:val="000000"/>
          <w:lang w:eastAsia="en-IE"/>
        </w:rPr>
        <w:t>will expire unless extended by both House of the Oireachtas</w:t>
      </w:r>
      <w:r w:rsidR="003C0931">
        <w:rPr>
          <w:rFonts w:ascii="Calibri" w:eastAsia="Times New Roman" w:hAnsi="Calibri" w:cs="Calibri"/>
          <w:color w:val="000000"/>
          <w:lang w:eastAsia="en-IE"/>
        </w:rPr>
        <w:t xml:space="preserve"> prior to 9 October 2021 and the </w:t>
      </w:r>
      <w:r w:rsidR="003C0931" w:rsidRPr="003C0931">
        <w:t>Health and Criminal Justice (Covid-19) Amendment Act</w:t>
      </w:r>
      <w:r w:rsidR="003C0931">
        <w:t>,</w:t>
      </w:r>
      <w:r w:rsidR="003C0931" w:rsidRPr="003C0931">
        <w:t xml:space="preserve"> 2021 </w:t>
      </w:r>
      <w:r w:rsidR="003C0931" w:rsidRPr="003C0931">
        <w:rPr>
          <w:rFonts w:ascii="Calibri" w:eastAsia="Times New Roman" w:hAnsi="Calibri" w:cs="Calibri"/>
          <w:color w:val="000000"/>
          <w:lang w:eastAsia="en-IE"/>
        </w:rPr>
        <w:t>will expire unless extended by both Houses of the Oireachtas</w:t>
      </w:r>
      <w:r w:rsidR="003C0931">
        <w:rPr>
          <w:rFonts w:ascii="Calibri" w:eastAsia="Times New Roman" w:hAnsi="Calibri" w:cs="Calibri"/>
          <w:color w:val="000000"/>
          <w:lang w:eastAsia="en-IE"/>
        </w:rPr>
        <w:t xml:space="preserve"> prior to 9 November 2021.</w:t>
      </w:r>
    </w:p>
    <w:p w14:paraId="007F4EAA" w14:textId="2EF9784C" w:rsidR="003C0931" w:rsidRDefault="003C0931" w:rsidP="003C093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7566FE81" w14:textId="65E42D22" w:rsidR="003F0A88" w:rsidRDefault="003C0931" w:rsidP="003C0931">
      <w:r>
        <w:rPr>
          <w:rFonts w:ascii="Calibri" w:eastAsia="Times New Roman" w:hAnsi="Calibri" w:cs="Calibri"/>
          <w:color w:val="000000"/>
          <w:lang w:eastAsia="en-IE"/>
        </w:rPr>
        <w:t xml:space="preserve">I am aware that the </w:t>
      </w:r>
      <w:r>
        <w:t>Health Amendment No</w:t>
      </w:r>
      <w:r w:rsidR="00EC01BE">
        <w:t>.</w:t>
      </w:r>
      <w:r>
        <w:t xml:space="preserve"> 2 Act (which facilitated the introduction of </w:t>
      </w:r>
      <w:r w:rsidR="00195E3B">
        <w:t xml:space="preserve">domestic </w:t>
      </w:r>
      <w:r>
        <w:t xml:space="preserve">vaccine passports for indoor dining and will soon likely facilitate an extension of the premises that </w:t>
      </w:r>
      <w:r w:rsidR="003F0A88">
        <w:t>may</w:t>
      </w:r>
      <w:r>
        <w:t xml:space="preserve"> ask for vaccine passports</w:t>
      </w:r>
      <w:r w:rsidR="003F0A88">
        <w:t xml:space="preserve"> as a requirement of admission</w:t>
      </w:r>
      <w:r>
        <w:t xml:space="preserve">) was passed on 14 of July 2021, by 72 votes in favour and 66 votes against. </w:t>
      </w:r>
    </w:p>
    <w:p w14:paraId="3A9979B9" w14:textId="16670062" w:rsidR="003C0931" w:rsidRDefault="003C0931" w:rsidP="003C0931">
      <w:r>
        <w:t>I am aware that the Health and Criminal Justice Act (which facilitate</w:t>
      </w:r>
      <w:r w:rsidR="00EC01BE">
        <w:t>s</w:t>
      </w:r>
      <w:r>
        <w:t xml:space="preserve"> the closure of business and churches and can make it illegal for a person to leave their private dwelling without a reasonable excuse) was extended on 2</w:t>
      </w:r>
      <w:r>
        <w:rPr>
          <w:vertAlign w:val="superscript"/>
        </w:rPr>
        <w:t xml:space="preserve"> </w:t>
      </w:r>
      <w:r>
        <w:t>of June 2021, by 73 votes in favour and 68 votes against.</w:t>
      </w:r>
    </w:p>
    <w:p w14:paraId="62CD61FB" w14:textId="04DF30D0" w:rsidR="003C0931" w:rsidRDefault="003F0A88" w:rsidP="003C0931">
      <w:r>
        <w:t xml:space="preserve">I am also acutely aware of how </w:t>
      </w:r>
      <w:proofErr w:type="gramStart"/>
      <w:r>
        <w:t>each and every</w:t>
      </w:r>
      <w:proofErr w:type="gramEnd"/>
      <w:r>
        <w:t xml:space="preserve"> TD voted in this regard and attach a record of same for completeness.</w:t>
      </w:r>
    </w:p>
    <w:p w14:paraId="3388B95A" w14:textId="0FE5F2FC" w:rsidR="003C0931" w:rsidRDefault="003F0A88" w:rsidP="003C093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noProof/>
          <w:color w:val="000000"/>
          <w:lang w:eastAsia="en-IE"/>
        </w:rPr>
        <w:drawing>
          <wp:inline distT="0" distB="0" distL="0" distR="0" wp14:anchorId="14F36802" wp14:editId="70DAAB2E">
            <wp:extent cx="5727700" cy="36836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195F" w14:textId="77777777" w:rsidR="003C0931" w:rsidRDefault="003C0931" w:rsidP="003C093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7D4A0412" w14:textId="1DC67FAE" w:rsidR="003C0931" w:rsidRDefault="003F0A88" w:rsidP="003C093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noProof/>
          <w:color w:val="000000"/>
          <w:lang w:eastAsia="en-IE"/>
        </w:rPr>
        <w:lastRenderedPageBreak/>
        <w:drawing>
          <wp:inline distT="0" distB="0" distL="0" distR="0" wp14:anchorId="02B91AF9" wp14:editId="0E0981D5">
            <wp:extent cx="5727700" cy="355409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AD7D" w14:textId="6B1DC210" w:rsidR="00233FE3" w:rsidRDefault="00A01352" w:rsidP="00233FE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The purpose of this letter is to place on </w:t>
      </w:r>
      <w:r w:rsidR="000E5232">
        <w:rPr>
          <w:rFonts w:ascii="Calibri" w:eastAsia="Times New Roman" w:hAnsi="Calibri" w:cs="Calibri"/>
          <w:color w:val="000000"/>
          <w:lang w:eastAsia="en-IE"/>
        </w:rPr>
        <w:t xml:space="preserve">the </w:t>
      </w:r>
      <w:r>
        <w:rPr>
          <w:rFonts w:ascii="Calibri" w:eastAsia="Times New Roman" w:hAnsi="Calibri" w:cs="Calibri"/>
          <w:color w:val="000000"/>
          <w:lang w:eastAsia="en-IE"/>
        </w:rPr>
        <w:t xml:space="preserve">record my firm disagreement with </w:t>
      </w:r>
      <w:r w:rsidR="00EC01BE">
        <w:rPr>
          <w:rFonts w:ascii="Calibri" w:eastAsia="Times New Roman" w:hAnsi="Calibri" w:cs="Calibri"/>
          <w:color w:val="000000"/>
          <w:lang w:eastAsia="en-IE"/>
        </w:rPr>
        <w:t xml:space="preserve">any </w:t>
      </w:r>
      <w:r w:rsidR="003F0A88">
        <w:rPr>
          <w:rFonts w:ascii="Calibri" w:eastAsia="Times New Roman" w:hAnsi="Calibri" w:cs="Calibri"/>
          <w:color w:val="000000"/>
          <w:lang w:eastAsia="en-IE"/>
        </w:rPr>
        <w:t xml:space="preserve">extension of the </w:t>
      </w:r>
      <w:r w:rsidR="00233FE3">
        <w:rPr>
          <w:rFonts w:ascii="Calibri" w:eastAsia="Times New Roman" w:hAnsi="Calibri" w:cs="Calibri"/>
          <w:color w:val="000000"/>
          <w:lang w:eastAsia="en-IE"/>
        </w:rPr>
        <w:t>Acts and</w:t>
      </w:r>
      <w:r w:rsidR="002954BA">
        <w:rPr>
          <w:rFonts w:ascii="Calibri" w:eastAsia="Times New Roman" w:hAnsi="Calibri" w:cs="Calibri"/>
          <w:color w:val="000000"/>
          <w:lang w:eastAsia="en-IE"/>
        </w:rPr>
        <w:t xml:space="preserve"> to call upon you to </w:t>
      </w:r>
      <w:r w:rsidR="002954BA" w:rsidRPr="00233FE3">
        <w:rPr>
          <w:rFonts w:ascii="Calibri" w:eastAsia="Times New Roman" w:hAnsi="Calibri" w:cs="Calibri"/>
          <w:b/>
          <w:bCs/>
          <w:color w:val="000000"/>
          <w:lang w:eastAsia="en-IE"/>
        </w:rPr>
        <w:t>VOTE AGAINST</w:t>
      </w:r>
      <w:r w:rsidR="002954BA">
        <w:rPr>
          <w:rFonts w:ascii="Calibri" w:eastAsia="Times New Roman" w:hAnsi="Calibri" w:cs="Calibri"/>
          <w:color w:val="000000"/>
          <w:lang w:eastAsia="en-IE"/>
        </w:rPr>
        <w:t xml:space="preserve"> </w:t>
      </w:r>
      <w:r w:rsidR="00EC01BE">
        <w:rPr>
          <w:rFonts w:ascii="Calibri" w:eastAsia="Times New Roman" w:hAnsi="Calibri" w:cs="Calibri"/>
          <w:color w:val="000000"/>
          <w:lang w:eastAsia="en-IE"/>
        </w:rPr>
        <w:t xml:space="preserve">any </w:t>
      </w:r>
      <w:r w:rsidR="00195E3B">
        <w:rPr>
          <w:rFonts w:ascii="Calibri" w:eastAsia="Times New Roman" w:hAnsi="Calibri" w:cs="Calibri"/>
          <w:color w:val="000000"/>
          <w:lang w:eastAsia="en-IE"/>
        </w:rPr>
        <w:t>extension of same (or alternatively with respect to those TD’s who are part of the Government, I ask that you abstain or do not present yourself at the vote).</w:t>
      </w:r>
    </w:p>
    <w:p w14:paraId="0C817092" w14:textId="77777777" w:rsidR="00233FE3" w:rsidRDefault="00233FE3" w:rsidP="00233FE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682DC332" w14:textId="58A7986E" w:rsidR="002E5E5D" w:rsidRPr="002E5E5D" w:rsidRDefault="002E5E5D" w:rsidP="00233FE3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</w:pPr>
      <w:r w:rsidRPr="002E5E5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Health (Amendment) (No</w:t>
      </w:r>
      <w:r w:rsidR="00EC01BE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 xml:space="preserve">. </w:t>
      </w:r>
      <w:r w:rsidRPr="002E5E5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 xml:space="preserve">2) Act, 2021 </w:t>
      </w:r>
    </w:p>
    <w:p w14:paraId="2DFA11C8" w14:textId="56DCEAEF" w:rsidR="00647BB3" w:rsidRDefault="003F0A88" w:rsidP="00233FE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There can be no denying that the introduction of domestic vaccine passports has led to a </w:t>
      </w:r>
      <w:r w:rsidR="00233FE3">
        <w:rPr>
          <w:rFonts w:ascii="Calibri" w:eastAsia="Times New Roman" w:hAnsi="Calibri" w:cs="Calibri"/>
          <w:color w:val="000000"/>
          <w:lang w:eastAsia="en-IE"/>
        </w:rPr>
        <w:t>significant divide and fracturing of society</w:t>
      </w:r>
      <w:r w:rsidR="00195E3B">
        <w:rPr>
          <w:rFonts w:ascii="Calibri" w:eastAsia="Times New Roman" w:hAnsi="Calibri" w:cs="Calibri"/>
          <w:color w:val="000000"/>
          <w:lang w:eastAsia="en-IE"/>
        </w:rPr>
        <w:t xml:space="preserve"> in Ireland</w:t>
      </w:r>
      <w:r w:rsidR="00233FE3">
        <w:rPr>
          <w:rFonts w:ascii="Calibri" w:eastAsia="Times New Roman" w:hAnsi="Calibri" w:cs="Calibri"/>
          <w:color w:val="000000"/>
          <w:lang w:eastAsia="en-IE"/>
        </w:rPr>
        <w:t xml:space="preserve">, as many (including myself), consider that same seeks to eliminate a person’s </w:t>
      </w:r>
      <w:r w:rsidR="00233FE3" w:rsidRPr="00C26924">
        <w:rPr>
          <w:rFonts w:ascii="Calibri" w:eastAsia="Times New Roman" w:hAnsi="Calibri" w:cs="Calibri"/>
          <w:color w:val="000000"/>
          <w:lang w:eastAsia="en-IE"/>
        </w:rPr>
        <w:t xml:space="preserve">fundamental rights, 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>including</w:t>
      </w:r>
      <w:r w:rsidR="00233FE3">
        <w:rPr>
          <w:rFonts w:ascii="Calibri" w:eastAsia="Times New Roman" w:hAnsi="Calibri" w:cs="Calibri"/>
          <w:color w:val="000000"/>
          <w:lang w:eastAsia="en-IE"/>
        </w:rPr>
        <w:t>: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 xml:space="preserve"> the right to free choice</w:t>
      </w:r>
      <w:r w:rsidR="00233FE3">
        <w:rPr>
          <w:rFonts w:ascii="Calibri" w:eastAsia="Times New Roman" w:hAnsi="Calibri" w:cs="Calibri"/>
          <w:color w:val="000000"/>
          <w:lang w:eastAsia="en-IE"/>
        </w:rPr>
        <w:t xml:space="preserve">; the 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 xml:space="preserve">right to decide over </w:t>
      </w:r>
      <w:r w:rsidR="00233FE3">
        <w:rPr>
          <w:rFonts w:ascii="Calibri" w:eastAsia="Times New Roman" w:hAnsi="Calibri" w:cs="Calibri"/>
          <w:color w:val="000000"/>
          <w:lang w:eastAsia="en-IE"/>
        </w:rPr>
        <w:t>one’s own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 xml:space="preserve"> body</w:t>
      </w:r>
      <w:r w:rsidR="00233FE3">
        <w:rPr>
          <w:rFonts w:ascii="Calibri" w:eastAsia="Times New Roman" w:hAnsi="Calibri" w:cs="Calibri"/>
          <w:color w:val="000000"/>
          <w:lang w:eastAsia="en-IE"/>
        </w:rPr>
        <w:t xml:space="preserve">; the 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 xml:space="preserve">right to </w:t>
      </w:r>
      <w:r w:rsidR="00233FE3">
        <w:rPr>
          <w:rFonts w:ascii="Calibri" w:eastAsia="Times New Roman" w:hAnsi="Calibri" w:cs="Calibri"/>
          <w:color w:val="000000"/>
          <w:lang w:eastAsia="en-IE"/>
        </w:rPr>
        <w:t xml:space="preserve">free and informed 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>consent</w:t>
      </w:r>
      <w:r w:rsidR="00233FE3">
        <w:rPr>
          <w:rFonts w:ascii="Calibri" w:eastAsia="Times New Roman" w:hAnsi="Calibri" w:cs="Calibri"/>
          <w:color w:val="000000"/>
          <w:lang w:eastAsia="en-IE"/>
        </w:rPr>
        <w:t xml:space="preserve">; the 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>right to a dignified life</w:t>
      </w:r>
      <w:r w:rsidR="00233FE3">
        <w:rPr>
          <w:rFonts w:ascii="Calibri" w:eastAsia="Times New Roman" w:hAnsi="Calibri" w:cs="Calibri"/>
          <w:color w:val="000000"/>
          <w:lang w:eastAsia="en-IE"/>
        </w:rPr>
        <w:t xml:space="preserve">; and the right to </w:t>
      </w:r>
      <w:r w:rsidR="00233FE3" w:rsidRPr="00233FE3">
        <w:rPr>
          <w:rFonts w:ascii="Calibri" w:eastAsia="Times New Roman" w:hAnsi="Calibri" w:cs="Calibri"/>
          <w:color w:val="000000"/>
          <w:lang w:eastAsia="en-IE"/>
        </w:rPr>
        <w:t>privacy</w:t>
      </w:r>
      <w:r w:rsidR="00233FE3">
        <w:rPr>
          <w:rFonts w:ascii="Calibri" w:eastAsia="Times New Roman" w:hAnsi="Calibri" w:cs="Calibri"/>
          <w:color w:val="000000"/>
          <w:lang w:eastAsia="en-IE"/>
        </w:rPr>
        <w:t xml:space="preserve">. </w:t>
      </w:r>
    </w:p>
    <w:p w14:paraId="37C7CA76" w14:textId="77777777" w:rsidR="00647BB3" w:rsidRDefault="00647BB3" w:rsidP="00233FE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065B41C3" w14:textId="4A50C0D4" w:rsidR="00233FE3" w:rsidRDefault="00233FE3" w:rsidP="00233FE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Added to this is the fact that the egregious practice </w:t>
      </w:r>
      <w:r w:rsidR="00647BB3">
        <w:rPr>
          <w:rFonts w:ascii="Calibri" w:eastAsia="Times New Roman" w:hAnsi="Calibri" w:cs="Calibri"/>
          <w:color w:val="000000"/>
          <w:lang w:eastAsia="en-IE"/>
        </w:rPr>
        <w:t>of</w:t>
      </w:r>
      <w:r>
        <w:rPr>
          <w:rFonts w:ascii="Calibri" w:eastAsia="Times New Roman" w:hAnsi="Calibri" w:cs="Calibri"/>
          <w:color w:val="000000"/>
          <w:lang w:eastAsia="en-IE"/>
        </w:rPr>
        <w:t xml:space="preserve"> refusing service to a person based on their private medical information, has now become acceptable. </w:t>
      </w:r>
      <w:r w:rsidR="00647BB3">
        <w:rPr>
          <w:rFonts w:ascii="Calibri" w:eastAsia="Times New Roman" w:hAnsi="Calibri" w:cs="Calibri"/>
          <w:color w:val="000000"/>
          <w:lang w:eastAsia="en-IE"/>
        </w:rPr>
        <w:t>To put same into context, I wish to advise you of the following circumstances, that I have become aware of, where access to goods and services is being restricted, without legal mandate, due to a person’s private medical information:</w:t>
      </w:r>
    </w:p>
    <w:p w14:paraId="4F2B3D1B" w14:textId="48D4117F" w:rsidR="00647BB3" w:rsidRDefault="00647BB3" w:rsidP="00233FE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4F151F37" w14:textId="22A4C006" w:rsidR="00647BB3" w:rsidRDefault="00647BB3" w:rsidP="00647BB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Access to organ transplant by Beaumont Hospital (noting that although the hospital has confirmed they do not operate a blanket refusal policy, it is clear that this denial is a smoke screen for a less transparent blanket refusal policy, which they say is based on individual risk assessments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);</w:t>
      </w:r>
      <w:proofErr w:type="gramEnd"/>
    </w:p>
    <w:p w14:paraId="0AB00311" w14:textId="256776F4" w:rsidR="00647BB3" w:rsidRDefault="00647BB3" w:rsidP="00647BB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Access to indoor restaurants, bars and 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cafes;</w:t>
      </w:r>
      <w:proofErr w:type="gramEnd"/>
    </w:p>
    <w:p w14:paraId="751DDD81" w14:textId="4FE86EF6" w:rsidR="00647BB3" w:rsidRDefault="00647BB3" w:rsidP="00647BB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Access to indoor canteens </w:t>
      </w:r>
      <w:r w:rsidR="00EC01BE">
        <w:rPr>
          <w:rFonts w:ascii="Calibri" w:eastAsia="Times New Roman" w:hAnsi="Calibri" w:cs="Calibri"/>
          <w:color w:val="000000"/>
          <w:lang w:eastAsia="en-IE"/>
        </w:rPr>
        <w:t xml:space="preserve">by students, </w:t>
      </w:r>
      <w:r>
        <w:rPr>
          <w:rFonts w:ascii="Calibri" w:eastAsia="Times New Roman" w:hAnsi="Calibri" w:cs="Calibri"/>
          <w:color w:val="000000"/>
          <w:lang w:eastAsia="en-IE"/>
        </w:rPr>
        <w:t xml:space="preserve">on college 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premises;</w:t>
      </w:r>
      <w:proofErr w:type="gramEnd"/>
    </w:p>
    <w:p w14:paraId="5CC58C85" w14:textId="104185F5" w:rsidR="00647BB3" w:rsidRDefault="00647BB3" w:rsidP="00647BB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Access to hospitals in the capacity of a 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visitor;</w:t>
      </w:r>
      <w:proofErr w:type="gramEnd"/>
    </w:p>
    <w:p w14:paraId="5B639E5C" w14:textId="77777777" w:rsidR="00EC01BE" w:rsidRDefault="00EC01BE" w:rsidP="00EC01B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Access to indoor child soft play areas (unless parents are vaccinated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);</w:t>
      </w:r>
      <w:proofErr w:type="gramEnd"/>
    </w:p>
    <w:p w14:paraId="747E6656" w14:textId="27EA1D0A" w:rsidR="00647BB3" w:rsidRPr="00647BB3" w:rsidRDefault="00647BB3" w:rsidP="00647BB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Access to training 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courses;</w:t>
      </w:r>
      <w:proofErr w:type="gramEnd"/>
    </w:p>
    <w:p w14:paraId="72A72319" w14:textId="77777777" w:rsidR="00EC01BE" w:rsidRDefault="00EC01BE" w:rsidP="00EC01B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Access to 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cinemas;</w:t>
      </w:r>
      <w:proofErr w:type="gramEnd"/>
    </w:p>
    <w:p w14:paraId="10FA602F" w14:textId="77777777" w:rsidR="00EC01BE" w:rsidRDefault="00EC01BE" w:rsidP="00EC01B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lastRenderedPageBreak/>
        <w:t xml:space="preserve">Access to 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concerts;</w:t>
      </w:r>
      <w:proofErr w:type="gramEnd"/>
    </w:p>
    <w:p w14:paraId="78B80518" w14:textId="5B68CD1E" w:rsidR="003F0A88" w:rsidRDefault="003F0A88" w:rsidP="00BB7A08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5E91D27C" w14:textId="19D0BB9C" w:rsidR="00647BB3" w:rsidRDefault="00EC01BE" w:rsidP="00BB7A08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I have also been made aware that </w:t>
      </w:r>
      <w:r w:rsidR="00195E3B">
        <w:rPr>
          <w:rFonts w:ascii="Calibri" w:eastAsia="Times New Roman" w:hAnsi="Calibri" w:cs="Calibri"/>
          <w:color w:val="000000"/>
          <w:lang w:eastAsia="en-IE"/>
        </w:rPr>
        <w:t>some</w:t>
      </w:r>
      <w:r>
        <w:rPr>
          <w:rFonts w:ascii="Calibri" w:eastAsia="Times New Roman" w:hAnsi="Calibri" w:cs="Calibri"/>
          <w:color w:val="000000"/>
          <w:lang w:eastAsia="en-IE"/>
        </w:rPr>
        <w:t xml:space="preserve"> medical practices are suggesting that non vaccinated patients, should seek care elsewhere. If this is true (and as matters </w:t>
      </w:r>
      <w:r w:rsidR="00195E3B">
        <w:rPr>
          <w:rFonts w:ascii="Calibri" w:eastAsia="Times New Roman" w:hAnsi="Calibri" w:cs="Calibri"/>
          <w:color w:val="000000"/>
          <w:lang w:eastAsia="en-IE"/>
        </w:rPr>
        <w:t>stand,</w:t>
      </w:r>
      <w:r>
        <w:rPr>
          <w:rFonts w:ascii="Calibri" w:eastAsia="Times New Roman" w:hAnsi="Calibri" w:cs="Calibri"/>
          <w:color w:val="000000"/>
          <w:lang w:eastAsia="en-IE"/>
        </w:rPr>
        <w:t xml:space="preserve"> I have no reason to doubt </w:t>
      </w:r>
      <w:r w:rsidR="00195E3B">
        <w:rPr>
          <w:rFonts w:ascii="Calibri" w:eastAsia="Times New Roman" w:hAnsi="Calibri" w:cs="Calibri"/>
          <w:color w:val="000000"/>
          <w:lang w:eastAsia="en-IE"/>
        </w:rPr>
        <w:t>this</w:t>
      </w:r>
      <w:r>
        <w:rPr>
          <w:rFonts w:ascii="Calibri" w:eastAsia="Times New Roman" w:hAnsi="Calibri" w:cs="Calibri"/>
          <w:color w:val="000000"/>
          <w:lang w:eastAsia="en-IE"/>
        </w:rPr>
        <w:t xml:space="preserve">), it is only a matter of time before anarchy descends, because if a medical practice feels they may operate such a blatantly discriminatory and immoral practice, it is only a matter of time before other businesses and services </w:t>
      </w:r>
      <w:r w:rsidR="00195E3B">
        <w:rPr>
          <w:rFonts w:ascii="Calibri" w:eastAsia="Times New Roman" w:hAnsi="Calibri" w:cs="Calibri"/>
          <w:color w:val="000000"/>
          <w:lang w:eastAsia="en-IE"/>
        </w:rPr>
        <w:t>adopt the same policy</w:t>
      </w:r>
      <w:r>
        <w:rPr>
          <w:rFonts w:ascii="Calibri" w:eastAsia="Times New Roman" w:hAnsi="Calibri" w:cs="Calibri"/>
          <w:color w:val="000000"/>
          <w:lang w:eastAsia="en-IE"/>
        </w:rPr>
        <w:t xml:space="preserve">.  If this is to occur </w:t>
      </w:r>
      <w:r w:rsidR="00647BB3">
        <w:rPr>
          <w:rFonts w:ascii="Calibri" w:eastAsia="Times New Roman" w:hAnsi="Calibri" w:cs="Calibri"/>
          <w:color w:val="000000"/>
          <w:lang w:eastAsia="en-IE"/>
        </w:rPr>
        <w:t xml:space="preserve">a section of society </w:t>
      </w:r>
      <w:r>
        <w:rPr>
          <w:rFonts w:ascii="Calibri" w:eastAsia="Times New Roman" w:hAnsi="Calibri" w:cs="Calibri"/>
          <w:color w:val="000000"/>
          <w:lang w:eastAsia="en-IE"/>
        </w:rPr>
        <w:t xml:space="preserve">will become </w:t>
      </w:r>
      <w:r w:rsidR="002E5E5D">
        <w:rPr>
          <w:rFonts w:ascii="Calibri" w:eastAsia="Times New Roman" w:hAnsi="Calibri" w:cs="Calibri"/>
          <w:color w:val="000000"/>
          <w:lang w:eastAsia="en-IE"/>
        </w:rPr>
        <w:t xml:space="preserve">completely ostracised. I ask you why any person who is ostracised in this way should continue to abide by the law or pay </w:t>
      </w:r>
      <w:proofErr w:type="gramStart"/>
      <w:r w:rsidR="002E5E5D">
        <w:rPr>
          <w:rFonts w:ascii="Calibri" w:eastAsia="Times New Roman" w:hAnsi="Calibri" w:cs="Calibri"/>
          <w:color w:val="000000"/>
          <w:lang w:eastAsia="en-IE"/>
        </w:rPr>
        <w:t>taxes, if</w:t>
      </w:r>
      <w:proofErr w:type="gramEnd"/>
      <w:r w:rsidR="002E5E5D">
        <w:rPr>
          <w:rFonts w:ascii="Calibri" w:eastAsia="Times New Roman" w:hAnsi="Calibri" w:cs="Calibri"/>
          <w:color w:val="000000"/>
          <w:lang w:eastAsia="en-IE"/>
        </w:rPr>
        <w:t xml:space="preserve"> they are treated in such a contemptable manner. This is a serious question that you should ponder</w:t>
      </w:r>
      <w:r>
        <w:rPr>
          <w:rFonts w:ascii="Calibri" w:eastAsia="Times New Roman" w:hAnsi="Calibri" w:cs="Calibri"/>
          <w:color w:val="000000"/>
          <w:lang w:eastAsia="en-IE"/>
        </w:rPr>
        <w:t xml:space="preserve"> as the introduction and continuation of this legislation should not be underestimated in terms of its impacts on personal behaviour. </w:t>
      </w:r>
    </w:p>
    <w:p w14:paraId="4307D8D7" w14:textId="649C3E71" w:rsidR="00BC4C4F" w:rsidRDefault="002E5E5D" w:rsidP="002E5E5D">
      <w:pPr>
        <w:spacing w:before="240" w:after="0" w:line="276" w:lineRule="auto"/>
      </w:pPr>
      <w:r w:rsidRPr="002E5E5D">
        <w:rPr>
          <w:b/>
          <w:bCs/>
          <w:u w:val="single"/>
        </w:rPr>
        <w:t>Health and Criminal Justice (Covid-19) Amendment Act, 2021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br/>
      </w:r>
      <w:r w:rsidRPr="002E5E5D">
        <w:t xml:space="preserve">The introduction of the </w:t>
      </w:r>
      <w:proofErr w:type="gramStart"/>
      <w:r w:rsidRPr="002E5E5D">
        <w:t>Health</w:t>
      </w:r>
      <w:proofErr w:type="gramEnd"/>
      <w:r w:rsidRPr="002E5E5D">
        <w:t xml:space="preserve"> </w:t>
      </w:r>
      <w:r w:rsidR="00BC4C4F">
        <w:t>(</w:t>
      </w:r>
      <w:r w:rsidRPr="002E5E5D">
        <w:t xml:space="preserve">Preservation </w:t>
      </w:r>
      <w:r w:rsidR="00BC4C4F">
        <w:t xml:space="preserve">and Protection and Other Emergency Measure in the Public Interest) </w:t>
      </w:r>
      <w:r w:rsidRPr="002E5E5D">
        <w:t xml:space="preserve">Act </w:t>
      </w:r>
      <w:r w:rsidR="00BC4C4F">
        <w:t xml:space="preserve">2020, </w:t>
      </w:r>
      <w:r w:rsidRPr="002E5E5D">
        <w:t>i</w:t>
      </w:r>
      <w:r>
        <w:t>n</w:t>
      </w:r>
      <w:r w:rsidRPr="002E5E5D">
        <w:t xml:space="preserve"> March 2020</w:t>
      </w:r>
      <w:r w:rsidR="00BC4C4F">
        <w:t>,</w:t>
      </w:r>
      <w:r w:rsidRPr="002E5E5D">
        <w:t xml:space="preserve"> will be recorded in history as the moment at which Ireland began its decent into tyranny. </w:t>
      </w:r>
    </w:p>
    <w:p w14:paraId="036EE435" w14:textId="77777777" w:rsidR="00BC4C4F" w:rsidRDefault="002E5E5D" w:rsidP="002E5E5D">
      <w:pPr>
        <w:spacing w:before="240" w:after="0" w:line="276" w:lineRule="auto"/>
      </w:pPr>
      <w:r w:rsidRPr="002E5E5D">
        <w:t xml:space="preserve">The purpose of </w:t>
      </w:r>
      <w:r w:rsidR="00BC4C4F">
        <w:t xml:space="preserve">advising you of same </w:t>
      </w:r>
      <w:r>
        <w:t>is to appeal to your sense of self preservation, because I and many others will make it known who among</w:t>
      </w:r>
      <w:r w:rsidR="00BC4C4F">
        <w:t>st</w:t>
      </w:r>
      <w:r>
        <w:t xml:space="preserve"> our elected officials voted </w:t>
      </w:r>
      <w:r w:rsidR="00BC4C4F">
        <w:t xml:space="preserve">for the continuous erosion of our fundamental freedoms and in this regard, </w:t>
      </w:r>
      <w:r w:rsidR="00BC4C4F" w:rsidRPr="00BC4C4F">
        <w:t>neither I, nor anyone else will have any regard for statements such as “</w:t>
      </w:r>
      <w:r w:rsidR="00BC4C4F" w:rsidRPr="00BC4C4F">
        <w:rPr>
          <w:i/>
          <w:iCs/>
        </w:rPr>
        <w:t>I had to vote with the party”</w:t>
      </w:r>
      <w:r w:rsidR="00BC4C4F">
        <w:t xml:space="preserve">. </w:t>
      </w:r>
    </w:p>
    <w:p w14:paraId="33F5F3FF" w14:textId="652F59ED" w:rsidR="002E5E5D" w:rsidRPr="002E5E5D" w:rsidRDefault="00BC4C4F" w:rsidP="002E5E5D">
      <w:pPr>
        <w:spacing w:before="240" w:after="0" w:line="276" w:lineRule="auto"/>
        <w:rPr>
          <w:b/>
          <w:bCs/>
          <w:u w:val="single"/>
        </w:rPr>
      </w:pPr>
      <w:r>
        <w:t>I</w:t>
      </w:r>
      <w:r w:rsidRPr="00BC4C4F">
        <w:t>n circumstances where you are not swayed by self-preservation, I ask you to consider the following reasons as justification for voting against the extension of this legislation:</w:t>
      </w:r>
    </w:p>
    <w:p w14:paraId="62891713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jc w:val="both"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  <w:lang w:val="en-GB"/>
        </w:rPr>
        <w:t xml:space="preserve">It has caused an unacceptable level of collateral damage and suffering including in relation to physical and mental health, loneliness and isolation, increased domestic violence, and the livelihoods of many </w:t>
      </w:r>
      <w:proofErr w:type="gramStart"/>
      <w:r w:rsidRPr="002E5E5D">
        <w:rPr>
          <w:rFonts w:ascii="Calibri" w:eastAsia="Calibri" w:hAnsi="Calibri" w:cs="Calibri"/>
          <w:bCs/>
          <w:lang w:val="en-GB"/>
        </w:rPr>
        <w:t>people</w:t>
      </w:r>
      <w:bookmarkStart w:id="2" w:name="x__GoBack"/>
      <w:bookmarkEnd w:id="2"/>
      <w:r w:rsidRPr="002E5E5D">
        <w:rPr>
          <w:rFonts w:ascii="Calibri" w:eastAsia="Calibri" w:hAnsi="Calibri" w:cs="Calibri"/>
          <w:bCs/>
          <w:lang w:val="en-GB"/>
        </w:rPr>
        <w:t>;</w:t>
      </w:r>
      <w:proofErr w:type="gramEnd"/>
    </w:p>
    <w:p w14:paraId="40471190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jc w:val="both"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</w:rPr>
        <w:t>Public opinion is moving rapidly against the continuing lockdown which Part 3 enables</w:t>
      </w:r>
      <w:r w:rsidRPr="002E5E5D">
        <w:rPr>
          <w:rFonts w:ascii="Calibri" w:eastAsia="Calibri" w:hAnsi="Calibri" w:cs="Calibri"/>
          <w:bCs/>
          <w:lang w:val="en-GB"/>
        </w:rPr>
        <w:t>, with the recent Kantar/Sunday Independent poll finding “</w:t>
      </w:r>
      <w:r w:rsidRPr="002E5E5D">
        <w:rPr>
          <w:rFonts w:ascii="Calibri" w:eastAsia="Calibri" w:hAnsi="Calibri" w:cs="Calibri"/>
          <w:bCs/>
          <w:i/>
          <w:iCs/>
          <w:lang w:val="en-GB"/>
        </w:rPr>
        <w:t>huge frustration with the level of Covid restrictions”:</w:t>
      </w:r>
      <w:r w:rsidRPr="002E5E5D">
        <w:rPr>
          <w:rFonts w:ascii="Calibri" w:eastAsia="Calibri" w:hAnsi="Calibri" w:cs="Calibri"/>
          <w:bCs/>
          <w:lang w:val="en-GB"/>
        </w:rPr>
        <w:t xml:space="preserve"> 50% believe the lifting of restrictions is too </w:t>
      </w:r>
      <w:proofErr w:type="gramStart"/>
      <w:r w:rsidRPr="002E5E5D">
        <w:rPr>
          <w:rFonts w:ascii="Calibri" w:eastAsia="Calibri" w:hAnsi="Calibri" w:cs="Calibri"/>
          <w:bCs/>
          <w:lang w:val="en-GB"/>
        </w:rPr>
        <w:t>slow;</w:t>
      </w:r>
      <w:proofErr w:type="gramEnd"/>
    </w:p>
    <w:p w14:paraId="01799D1B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  <w:lang w:val="en-GB"/>
        </w:rPr>
        <w:t xml:space="preserve">Human rights and civil liberties must be respected, even when this is difficult, noting that </w:t>
      </w:r>
      <w:proofErr w:type="gramStart"/>
      <w:r w:rsidRPr="002E5E5D">
        <w:rPr>
          <w:rFonts w:ascii="Calibri" w:eastAsia="Calibri" w:hAnsi="Calibri" w:cs="Calibri"/>
          <w:bCs/>
          <w:lang w:val="en-GB"/>
        </w:rPr>
        <w:t>a  liberal</w:t>
      </w:r>
      <w:proofErr w:type="gramEnd"/>
      <w:r w:rsidRPr="002E5E5D">
        <w:rPr>
          <w:rFonts w:ascii="Calibri" w:eastAsia="Calibri" w:hAnsi="Calibri" w:cs="Calibri"/>
          <w:bCs/>
          <w:lang w:val="en-GB"/>
        </w:rPr>
        <w:t xml:space="preserve"> democratic society does not abandon its commitment to human rights and civil liberties as soon as that commitment becomes inconvenient. Instead, it maintains strong respect for those rights </w:t>
      </w:r>
      <w:proofErr w:type="gramStart"/>
      <w:r w:rsidRPr="002E5E5D">
        <w:rPr>
          <w:rFonts w:ascii="Calibri" w:eastAsia="Calibri" w:hAnsi="Calibri" w:cs="Calibri"/>
          <w:bCs/>
          <w:u w:val="single"/>
          <w:lang w:val="en-GB"/>
        </w:rPr>
        <w:t>always</w:t>
      </w:r>
      <w:r w:rsidRPr="002E5E5D">
        <w:rPr>
          <w:rFonts w:ascii="Calibri" w:eastAsia="Calibri" w:hAnsi="Calibri" w:cs="Calibri"/>
          <w:bCs/>
          <w:lang w:val="en-GB"/>
        </w:rPr>
        <w:t>;</w:t>
      </w:r>
      <w:proofErr w:type="gramEnd"/>
    </w:p>
    <w:p w14:paraId="318CB57B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  <w:lang w:val="en-GB"/>
        </w:rPr>
        <w:t xml:space="preserve">Lockdowns are not a normal pandemic response and, in fact, represent a radical departure from normal practice in responding to </w:t>
      </w:r>
      <w:proofErr w:type="gramStart"/>
      <w:r w:rsidRPr="002E5E5D">
        <w:rPr>
          <w:rFonts w:ascii="Calibri" w:eastAsia="Calibri" w:hAnsi="Calibri" w:cs="Calibri"/>
          <w:bCs/>
          <w:lang w:val="en-GB"/>
        </w:rPr>
        <w:t>pandemics;</w:t>
      </w:r>
      <w:proofErr w:type="gramEnd"/>
    </w:p>
    <w:p w14:paraId="7E1AEAA6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</w:rPr>
        <w:t xml:space="preserve">The excessive resort to lockdown contravenes WHO </w:t>
      </w:r>
      <w:proofErr w:type="gramStart"/>
      <w:r w:rsidRPr="002E5E5D">
        <w:rPr>
          <w:rFonts w:ascii="Calibri" w:eastAsia="Calibri" w:hAnsi="Calibri" w:cs="Calibri"/>
          <w:bCs/>
        </w:rPr>
        <w:t>Advice;</w:t>
      </w:r>
      <w:proofErr w:type="gramEnd"/>
    </w:p>
    <w:p w14:paraId="69A8EC22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  <w:lang w:val="en-GB"/>
        </w:rPr>
        <w:t xml:space="preserve">Our Covid-19 mortality rate is similar to countries with much less stringent/prolonged </w:t>
      </w:r>
      <w:proofErr w:type="gramStart"/>
      <w:r w:rsidRPr="002E5E5D">
        <w:rPr>
          <w:rFonts w:ascii="Calibri" w:eastAsia="Calibri" w:hAnsi="Calibri" w:cs="Calibri"/>
          <w:bCs/>
          <w:lang w:val="en-GB"/>
        </w:rPr>
        <w:t>lockdowns;</w:t>
      </w:r>
      <w:proofErr w:type="gramEnd"/>
    </w:p>
    <w:p w14:paraId="1077C652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  <w:lang w:val="en-GB"/>
        </w:rPr>
        <w:t xml:space="preserve">Part 3 is not fit for purpose and </w:t>
      </w:r>
      <w:r w:rsidRPr="002E5E5D">
        <w:rPr>
          <w:rFonts w:ascii="Calibri" w:eastAsia="Calibri" w:hAnsi="Calibri" w:cs="Calibri"/>
          <w:bCs/>
        </w:rPr>
        <w:t>is far too unbalanced, showing almost no regard for anything but Covid-</w:t>
      </w:r>
      <w:proofErr w:type="gramStart"/>
      <w:r w:rsidRPr="002E5E5D">
        <w:rPr>
          <w:rFonts w:ascii="Calibri" w:eastAsia="Calibri" w:hAnsi="Calibri" w:cs="Calibri"/>
          <w:bCs/>
        </w:rPr>
        <w:t>19;</w:t>
      </w:r>
      <w:proofErr w:type="gramEnd"/>
    </w:p>
    <w:p w14:paraId="5DFFF5D4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</w:rPr>
        <w:t xml:space="preserve">Government persistently </w:t>
      </w:r>
      <w:proofErr w:type="gramStart"/>
      <w:r w:rsidRPr="002E5E5D">
        <w:rPr>
          <w:rFonts w:ascii="Calibri" w:eastAsia="Calibri" w:hAnsi="Calibri" w:cs="Calibri"/>
          <w:bCs/>
        </w:rPr>
        <w:t>refuse</w:t>
      </w:r>
      <w:proofErr w:type="gramEnd"/>
      <w:r w:rsidRPr="002E5E5D">
        <w:rPr>
          <w:rFonts w:ascii="Calibri" w:eastAsia="Calibri" w:hAnsi="Calibri" w:cs="Calibri"/>
          <w:bCs/>
        </w:rPr>
        <w:t xml:space="preserve"> to exercise sparingly even the most extreme of these powers;</w:t>
      </w:r>
    </w:p>
    <w:p w14:paraId="3F86AF24" w14:textId="58896668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  <w:lang w:val="en-GB"/>
        </w:rPr>
        <w:lastRenderedPageBreak/>
        <w:t xml:space="preserve">The case for continuing Part 3 could be justified only by evidence showing as a matter of certainty that those measures are necessary, effective and do </w:t>
      </w:r>
      <w:proofErr w:type="gramStart"/>
      <w:r w:rsidRPr="002E5E5D">
        <w:rPr>
          <w:rFonts w:ascii="Calibri" w:eastAsia="Calibri" w:hAnsi="Calibri" w:cs="Calibri"/>
          <w:bCs/>
          <w:lang w:val="en-GB"/>
        </w:rPr>
        <w:t>more good</w:t>
      </w:r>
      <w:proofErr w:type="gramEnd"/>
      <w:r w:rsidRPr="002E5E5D">
        <w:rPr>
          <w:rFonts w:ascii="Calibri" w:eastAsia="Calibri" w:hAnsi="Calibri" w:cs="Calibri"/>
          <w:bCs/>
          <w:lang w:val="en-GB"/>
        </w:rPr>
        <w:t xml:space="preserve"> than harm. Yet that is simply not the reality. Multiple published analyses indicate that lockdowns have little, if any, effect on Covid-19 mortality</w:t>
      </w:r>
      <w:proofErr w:type="gramStart"/>
      <w:r w:rsidRPr="002E5E5D">
        <w:rPr>
          <w:rFonts w:ascii="Calibri" w:eastAsia="Calibri" w:hAnsi="Calibri" w:cs="Calibri"/>
          <w:bCs/>
          <w:lang w:val="en-GB"/>
        </w:rPr>
        <w:t>.;</w:t>
      </w:r>
      <w:proofErr w:type="gramEnd"/>
    </w:p>
    <w:p w14:paraId="2CF9CBD9" w14:textId="77777777" w:rsidR="002E5E5D" w:rsidRPr="002E5E5D" w:rsidRDefault="002E5E5D" w:rsidP="002E5E5D">
      <w:pPr>
        <w:numPr>
          <w:ilvl w:val="0"/>
          <w:numId w:val="19"/>
        </w:numPr>
        <w:spacing w:after="0" w:line="288" w:lineRule="auto"/>
        <w:contextualSpacing/>
        <w:rPr>
          <w:rFonts w:ascii="Calibri" w:eastAsia="Calibri" w:hAnsi="Calibri" w:cs="Calibri"/>
          <w:bCs/>
          <w:lang w:val="en-GB"/>
        </w:rPr>
      </w:pPr>
      <w:r w:rsidRPr="002E5E5D">
        <w:rPr>
          <w:rFonts w:ascii="Calibri" w:eastAsia="Calibri" w:hAnsi="Calibri" w:cs="Calibri"/>
          <w:bCs/>
          <w:lang w:val="en-GB"/>
        </w:rPr>
        <w:t>The original rationale for the restrictions (to “</w:t>
      </w:r>
      <w:r w:rsidRPr="002E5E5D">
        <w:rPr>
          <w:rFonts w:ascii="Calibri" w:eastAsia="Calibri" w:hAnsi="Calibri" w:cs="Calibri"/>
          <w:bCs/>
          <w:i/>
          <w:iCs/>
          <w:lang w:val="en-GB"/>
        </w:rPr>
        <w:t>flatten the curve</w:t>
      </w:r>
      <w:r w:rsidRPr="002E5E5D">
        <w:rPr>
          <w:rFonts w:ascii="Calibri" w:eastAsia="Calibri" w:hAnsi="Calibri" w:cs="Calibri"/>
          <w:bCs/>
          <w:lang w:val="en-GB"/>
        </w:rPr>
        <w:t>”) has long since passed.</w:t>
      </w:r>
    </w:p>
    <w:p w14:paraId="006A55B9" w14:textId="77777777" w:rsidR="00EC01BE" w:rsidRDefault="00EC01BE" w:rsidP="00BB7A08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2F3A63E4" w14:textId="5914721B" w:rsidR="00EB3BC3" w:rsidRDefault="006270B5" w:rsidP="00BB7A08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US" w:eastAsia="en-IE"/>
        </w:rPr>
      </w:pPr>
      <w:r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As representatives elected by the people, for the people, it is essential for </w:t>
      </w:r>
      <w:proofErr w:type="gramStart"/>
      <w:r w:rsidR="00EB3BC3">
        <w:rPr>
          <w:rFonts w:ascii="Calibri" w:eastAsia="Times New Roman" w:hAnsi="Calibri" w:cs="Calibri"/>
          <w:color w:val="000000"/>
          <w:lang w:val="en-US" w:eastAsia="en-IE"/>
        </w:rPr>
        <w:t>TD’</w:t>
      </w:r>
      <w:r w:rsidRPr="00AF5C6A">
        <w:rPr>
          <w:rFonts w:ascii="Calibri" w:eastAsia="Times New Roman" w:hAnsi="Calibri" w:cs="Calibri"/>
          <w:color w:val="000000"/>
          <w:lang w:val="en-US" w:eastAsia="en-IE"/>
        </w:rPr>
        <w:t>s</w:t>
      </w:r>
      <w:proofErr w:type="gramEnd"/>
      <w:r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 to maintain meaningful respect for fundamental rights and civil liberties, even when doing so presents challenges. </w:t>
      </w:r>
      <w:r w:rsidR="00765DC0"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For the avoidance of doubt, I confirm that when the next General Election takes place the paramount, decisive issue I will be concerned with is whether </w:t>
      </w:r>
      <w:r w:rsidR="00EB3BC3">
        <w:rPr>
          <w:rFonts w:ascii="Calibri" w:eastAsia="Times New Roman" w:hAnsi="Calibri" w:cs="Calibri"/>
          <w:color w:val="000000"/>
          <w:lang w:val="en-US" w:eastAsia="en-IE"/>
        </w:rPr>
        <w:t>you did everything within your power to stop</w:t>
      </w:r>
      <w:r w:rsidR="00BC4C4F">
        <w:rPr>
          <w:rFonts w:ascii="Calibri" w:eastAsia="Times New Roman" w:hAnsi="Calibri" w:cs="Calibri"/>
          <w:color w:val="000000"/>
          <w:lang w:val="en-US" w:eastAsia="en-IE"/>
        </w:rPr>
        <w:t xml:space="preserve"> the extension of the Acts.</w:t>
      </w:r>
      <w:r w:rsidR="00EB3BC3">
        <w:rPr>
          <w:rFonts w:ascii="Calibri" w:eastAsia="Times New Roman" w:hAnsi="Calibri" w:cs="Calibri"/>
          <w:color w:val="000000"/>
          <w:lang w:val="en-US" w:eastAsia="en-IE"/>
        </w:rPr>
        <w:t xml:space="preserve"> </w:t>
      </w:r>
    </w:p>
    <w:p w14:paraId="4E016975" w14:textId="3A54DC6F" w:rsidR="00765DC0" w:rsidRDefault="00765DC0" w:rsidP="00BB7A0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I </w:t>
      </w:r>
      <w:r w:rsidR="007431CF" w:rsidRPr="007431CF">
        <w:rPr>
          <w:rFonts w:ascii="Calibri" w:eastAsia="Times New Roman" w:hAnsi="Calibri" w:cs="Calibri"/>
          <w:color w:val="000000"/>
          <w:lang w:eastAsia="en-IE"/>
        </w:rPr>
        <w:t>require a response to this letter</w:t>
      </w:r>
      <w:r w:rsidR="00BC4C4F">
        <w:rPr>
          <w:rFonts w:ascii="Calibri" w:eastAsia="Times New Roman" w:hAnsi="Calibri" w:cs="Calibri"/>
          <w:color w:val="000000"/>
          <w:lang w:eastAsia="en-IE"/>
        </w:rPr>
        <w:t>.</w:t>
      </w:r>
    </w:p>
    <w:p w14:paraId="74F6C088" w14:textId="2737803A" w:rsidR="007431CF" w:rsidRPr="007431CF" w:rsidRDefault="007431CF" w:rsidP="00BB7A0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I await hearing from you and shall follow up upon this communication. </w:t>
      </w:r>
    </w:p>
    <w:p w14:paraId="394511E0" w14:textId="77777777" w:rsidR="007431CF" w:rsidRPr="007431CF" w:rsidRDefault="007431CF" w:rsidP="00BB7A0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Yours Sincerely</w:t>
      </w:r>
    </w:p>
    <w:p w14:paraId="29CB8A94" w14:textId="77777777" w:rsidR="007431CF" w:rsidRPr="007431CF" w:rsidRDefault="007431CF" w:rsidP="00BB7A0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 </w:t>
      </w:r>
    </w:p>
    <w:p w14:paraId="1BDE3D36" w14:textId="0AD533BA" w:rsidR="007431CF" w:rsidRPr="00C26924" w:rsidRDefault="00C26924" w:rsidP="00BB7A08">
      <w:pPr>
        <w:spacing w:before="240"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__________________________</w:t>
      </w:r>
      <w:r>
        <w:rPr>
          <w:rFonts w:ascii="Calibri" w:eastAsia="Times New Roman" w:hAnsi="Calibri" w:cs="Calibri"/>
          <w:color w:val="000000"/>
          <w:lang w:eastAsia="en-IE"/>
        </w:rPr>
        <w:br/>
      </w:r>
      <w:r w:rsidRPr="00C26924">
        <w:rPr>
          <w:rFonts w:ascii="Calibri" w:eastAsia="Times New Roman" w:hAnsi="Calibri" w:cs="Calibri"/>
          <w:color w:val="000000"/>
          <w:highlight w:val="yellow"/>
          <w:lang w:eastAsia="en-IE"/>
        </w:rPr>
        <w:t>IN</w:t>
      </w:r>
      <w:r w:rsidRPr="00C26924">
        <w:rPr>
          <w:highlight w:val="yellow"/>
        </w:rPr>
        <w:t>SERT YOUR NAME HERE</w:t>
      </w:r>
    </w:p>
    <w:p w14:paraId="00218491" w14:textId="77777777" w:rsidR="007431CF" w:rsidRDefault="007431CF" w:rsidP="00BB7A08">
      <w:pPr>
        <w:spacing w:after="0" w:line="276" w:lineRule="auto"/>
        <w:jc w:val="both"/>
      </w:pPr>
    </w:p>
    <w:p w14:paraId="3D11FE08" w14:textId="77777777" w:rsidR="00D15D2F" w:rsidRDefault="00D15D2F" w:rsidP="00D15D2F">
      <w:pPr>
        <w:spacing w:after="0" w:line="360" w:lineRule="auto"/>
        <w:jc w:val="both"/>
      </w:pPr>
    </w:p>
    <w:p w14:paraId="0C3C9D7E" w14:textId="1387E722" w:rsidR="001E3FF4" w:rsidRDefault="002045D7" w:rsidP="00CA1199">
      <w:pPr>
        <w:spacing w:after="0" w:line="360" w:lineRule="auto"/>
      </w:pPr>
    </w:p>
    <w:sectPr w:rsidR="001E3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744A" w14:textId="77777777" w:rsidR="002045D7" w:rsidRDefault="002045D7" w:rsidP="006270B5">
      <w:pPr>
        <w:spacing w:after="0" w:line="240" w:lineRule="auto"/>
      </w:pPr>
      <w:r>
        <w:separator/>
      </w:r>
    </w:p>
  </w:endnote>
  <w:endnote w:type="continuationSeparator" w:id="0">
    <w:p w14:paraId="2CE87081" w14:textId="77777777" w:rsidR="002045D7" w:rsidRDefault="002045D7" w:rsidP="006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6F0D" w14:textId="77777777" w:rsidR="002045D7" w:rsidRDefault="002045D7" w:rsidP="006270B5">
      <w:pPr>
        <w:spacing w:after="0" w:line="240" w:lineRule="auto"/>
      </w:pPr>
      <w:r>
        <w:separator/>
      </w:r>
    </w:p>
  </w:footnote>
  <w:footnote w:type="continuationSeparator" w:id="0">
    <w:p w14:paraId="163F139C" w14:textId="77777777" w:rsidR="002045D7" w:rsidRDefault="002045D7" w:rsidP="0062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79B"/>
    <w:multiLevelType w:val="hybridMultilevel"/>
    <w:tmpl w:val="294CABFC"/>
    <w:lvl w:ilvl="0" w:tplc="C95A06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D7E"/>
    <w:multiLevelType w:val="hybridMultilevel"/>
    <w:tmpl w:val="998C2D28"/>
    <w:lvl w:ilvl="0" w:tplc="66F66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AD7"/>
    <w:multiLevelType w:val="hybridMultilevel"/>
    <w:tmpl w:val="311EB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54F"/>
    <w:multiLevelType w:val="hybridMultilevel"/>
    <w:tmpl w:val="956CC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929"/>
    <w:multiLevelType w:val="hybridMultilevel"/>
    <w:tmpl w:val="A018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2A1"/>
    <w:multiLevelType w:val="hybridMultilevel"/>
    <w:tmpl w:val="7638B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0BA"/>
    <w:multiLevelType w:val="multilevel"/>
    <w:tmpl w:val="3FB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11DA3"/>
    <w:multiLevelType w:val="multilevel"/>
    <w:tmpl w:val="615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A1310"/>
    <w:multiLevelType w:val="hybridMultilevel"/>
    <w:tmpl w:val="2110CE28"/>
    <w:lvl w:ilvl="0" w:tplc="D24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D6D84"/>
    <w:multiLevelType w:val="hybridMultilevel"/>
    <w:tmpl w:val="3C8AC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5F37"/>
    <w:multiLevelType w:val="multilevel"/>
    <w:tmpl w:val="0A34F1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C3D509E"/>
    <w:multiLevelType w:val="hybridMultilevel"/>
    <w:tmpl w:val="12826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3DC1"/>
    <w:multiLevelType w:val="hybridMultilevel"/>
    <w:tmpl w:val="3D38E69E"/>
    <w:lvl w:ilvl="0" w:tplc="193C6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558C"/>
    <w:multiLevelType w:val="hybridMultilevel"/>
    <w:tmpl w:val="894EDF78"/>
    <w:lvl w:ilvl="0" w:tplc="93D859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5657"/>
    <w:multiLevelType w:val="multilevel"/>
    <w:tmpl w:val="3FF4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946B2"/>
    <w:multiLevelType w:val="multilevel"/>
    <w:tmpl w:val="DAD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07E1C"/>
    <w:multiLevelType w:val="multilevel"/>
    <w:tmpl w:val="3338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95527"/>
    <w:multiLevelType w:val="hybridMultilevel"/>
    <w:tmpl w:val="500A029C"/>
    <w:lvl w:ilvl="0" w:tplc="9FA65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A01F6"/>
    <w:multiLevelType w:val="hybridMultilevel"/>
    <w:tmpl w:val="E064EB74"/>
    <w:lvl w:ilvl="0" w:tplc="D24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7A2BBE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3"/>
    <w:rsid w:val="0002678D"/>
    <w:rsid w:val="000319CB"/>
    <w:rsid w:val="000E147A"/>
    <w:rsid w:val="000E5232"/>
    <w:rsid w:val="000F7B54"/>
    <w:rsid w:val="001315B5"/>
    <w:rsid w:val="00163F5C"/>
    <w:rsid w:val="00181668"/>
    <w:rsid w:val="00195E3B"/>
    <w:rsid w:val="001E1E4D"/>
    <w:rsid w:val="002045D7"/>
    <w:rsid w:val="002138E2"/>
    <w:rsid w:val="00215972"/>
    <w:rsid w:val="00223157"/>
    <w:rsid w:val="00230093"/>
    <w:rsid w:val="00233FE3"/>
    <w:rsid w:val="002954BA"/>
    <w:rsid w:val="002E5E5D"/>
    <w:rsid w:val="00317935"/>
    <w:rsid w:val="00322310"/>
    <w:rsid w:val="00370F4F"/>
    <w:rsid w:val="00384D35"/>
    <w:rsid w:val="00392CB6"/>
    <w:rsid w:val="003A5B80"/>
    <w:rsid w:val="003C0931"/>
    <w:rsid w:val="003F0A88"/>
    <w:rsid w:val="004239D4"/>
    <w:rsid w:val="00450FCC"/>
    <w:rsid w:val="004A62E7"/>
    <w:rsid w:val="00582A7A"/>
    <w:rsid w:val="00623FD5"/>
    <w:rsid w:val="006270B5"/>
    <w:rsid w:val="00647BB3"/>
    <w:rsid w:val="0065745A"/>
    <w:rsid w:val="006C44AC"/>
    <w:rsid w:val="006D2A16"/>
    <w:rsid w:val="00736389"/>
    <w:rsid w:val="007431CF"/>
    <w:rsid w:val="00743430"/>
    <w:rsid w:val="00765DC0"/>
    <w:rsid w:val="007B13BD"/>
    <w:rsid w:val="007C0B8B"/>
    <w:rsid w:val="007D0917"/>
    <w:rsid w:val="00811772"/>
    <w:rsid w:val="00820E25"/>
    <w:rsid w:val="00830FAB"/>
    <w:rsid w:val="008E00C3"/>
    <w:rsid w:val="00920CA4"/>
    <w:rsid w:val="00937398"/>
    <w:rsid w:val="009A4F96"/>
    <w:rsid w:val="009C0DAB"/>
    <w:rsid w:val="009F3FDD"/>
    <w:rsid w:val="00A01352"/>
    <w:rsid w:val="00A711A7"/>
    <w:rsid w:val="00A96223"/>
    <w:rsid w:val="00AC6BFA"/>
    <w:rsid w:val="00AF5C6A"/>
    <w:rsid w:val="00B35712"/>
    <w:rsid w:val="00B73F0E"/>
    <w:rsid w:val="00B82565"/>
    <w:rsid w:val="00B84DD1"/>
    <w:rsid w:val="00BB7A08"/>
    <w:rsid w:val="00BC4C4F"/>
    <w:rsid w:val="00BD565D"/>
    <w:rsid w:val="00C26924"/>
    <w:rsid w:val="00C51F7C"/>
    <w:rsid w:val="00C615FE"/>
    <w:rsid w:val="00CA1199"/>
    <w:rsid w:val="00D15D2F"/>
    <w:rsid w:val="00D302EB"/>
    <w:rsid w:val="00E765ED"/>
    <w:rsid w:val="00EB3BC3"/>
    <w:rsid w:val="00EC01BE"/>
    <w:rsid w:val="00FD5FE3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74CD"/>
  <w15:chartTrackingRefBased/>
  <w15:docId w15:val="{6DF02AF9-0B0C-4430-B416-12AF0B6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65"/>
    <w:pPr>
      <w:ind w:left="720"/>
      <w:contextualSpacing/>
    </w:pPr>
  </w:style>
  <w:style w:type="table" w:styleId="TableGrid">
    <w:name w:val="Table Grid"/>
    <w:basedOn w:val="TableNormal"/>
    <w:uiPriority w:val="39"/>
    <w:rsid w:val="001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0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0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0F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2388-C03B-45DE-A61D-F1B102D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Mullally</dc:creator>
  <cp:keywords/>
  <dc:description/>
  <cp:lastModifiedBy>Tracey O'Mahony</cp:lastModifiedBy>
  <cp:revision>2</cp:revision>
  <dcterms:created xsi:type="dcterms:W3CDTF">2021-09-14T14:05:00Z</dcterms:created>
  <dcterms:modified xsi:type="dcterms:W3CDTF">2021-09-14T14:05:00Z</dcterms:modified>
</cp:coreProperties>
</file>